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95" w:rsidRPr="00682A95" w:rsidRDefault="00682A95" w:rsidP="00682A95">
      <w:pPr>
        <w:adjustRightInd w:val="0"/>
        <w:snapToGrid w:val="0"/>
        <w:spacing w:line="560" w:lineRule="exact"/>
        <w:jc w:val="center"/>
        <w:rPr>
          <w:rFonts w:ascii="小标宋" w:eastAsia="小标宋" w:cs="Times New Roman"/>
          <w:sz w:val="36"/>
          <w:szCs w:val="36"/>
        </w:rPr>
      </w:pPr>
      <w:r>
        <w:rPr>
          <w:rFonts w:ascii="小标宋" w:eastAsia="小标宋" w:cs="Times New Roman" w:hint="eastAsia"/>
          <w:sz w:val="36"/>
          <w:szCs w:val="36"/>
        </w:rPr>
        <w:t>图书馆党支部工作考核量化评分表</w:t>
      </w:r>
      <w:bookmarkStart w:id="0" w:name="_GoBack"/>
      <w:bookmarkEnd w:id="0"/>
    </w:p>
    <w:tbl>
      <w:tblPr>
        <w:tblStyle w:val="a5"/>
        <w:tblW w:w="5465" w:type="pct"/>
        <w:jc w:val="center"/>
        <w:tblLook w:val="04A0" w:firstRow="1" w:lastRow="0" w:firstColumn="1" w:lastColumn="0" w:noHBand="0" w:noVBand="1"/>
      </w:tblPr>
      <w:tblGrid>
        <w:gridCol w:w="1158"/>
        <w:gridCol w:w="6554"/>
        <w:gridCol w:w="876"/>
        <w:gridCol w:w="727"/>
      </w:tblGrid>
      <w:tr w:rsidR="00682A95" w:rsidTr="003047CB">
        <w:trPr>
          <w:trHeight w:val="447"/>
          <w:jc w:val="center"/>
        </w:trPr>
        <w:tc>
          <w:tcPr>
            <w:tcW w:w="622"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考评要素</w:t>
            </w:r>
          </w:p>
        </w:tc>
        <w:tc>
          <w:tcPr>
            <w:tcW w:w="3518"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考评内容</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基础分</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打分</w:t>
            </w:r>
          </w:p>
        </w:tc>
      </w:tr>
      <w:tr w:rsidR="00682A95" w:rsidTr="003047CB">
        <w:trPr>
          <w:jc w:val="center"/>
        </w:trPr>
        <w:tc>
          <w:tcPr>
            <w:tcW w:w="622" w:type="pct"/>
            <w:vMerge w:val="restar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一、支部</w:t>
            </w:r>
          </w:p>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班子建设</w:t>
            </w: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1.支委会班子健全，并按时进行换届改选，出现缺额能及时进行增补，委员分工明确。</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9</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2.认真做好支委会思想作风建设，按时并有成效地开好支委生活会，坚持民主集中制。</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9</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val="restar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二、支部</w:t>
            </w:r>
          </w:p>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制度建设</w:t>
            </w: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3.严格执行“三会一课”制度。支委会一般每月召开1次；党小组会每月1次，不设党小组的支部不召开；党员大会一般每三个月召开1次；党课每年不少于1次。支委会少开一次扣2分，党员大会少开一次扣3分，党课少办一次扣5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15</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4.坚持支部主题党日活动制度。支部每月举办1次“支部主题党日”活动，少办1次扣5分。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15</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5.定期召开民主生活会和组织生活会。支部每年至少组织1次民主生活会和2次组织生活会，少办1次扣2分。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b/>
                <w:sz w:val="21"/>
                <w:szCs w:val="21"/>
              </w:rPr>
              <w:t>10</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6.实行谈心谈话制度。支委会成员每年应当与支部党员开展至少1次谈心谈话，并做好谈话记录，少一人次扣1分。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5</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7.做好民主评议党员工作。每年对党员进行1次民主评议，并做好记录，未开展扣5分。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5</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8.坚持请示汇报制度。每年开学第一个月内向党总支提交年度支部工作计划，每年年尾提交支部工作总结。少一项扣2分。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5</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val="restar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三、党员</w:t>
            </w:r>
          </w:p>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发展</w:t>
            </w: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9.严格按照《党章》标准和党员发展方针，科学制定年度培养、教育和发展计划，积极慎重地做好发展党员工作。党支部注重在优秀中青年馆员中发展党员，每发展优秀馆员党员1名，奖励1分。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1</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10.每年年底向图书馆党总支及时上交下年度党员发展计划；平时及时报备入党申请人、入党积极分子、拟发展对象情况。</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1</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val="restar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四、党员教育管理</w:t>
            </w: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11.每月开展1次党员教育活动，支部书记带头讲党课每年不少于1次。教育活动</w:t>
            </w:r>
            <w:proofErr w:type="gramStart"/>
            <w:r>
              <w:rPr>
                <w:rFonts w:ascii="仿宋_GB2312" w:eastAsia="仿宋_GB2312" w:hAnsi="Calibri" w:hint="eastAsia"/>
                <w:sz w:val="21"/>
                <w:szCs w:val="21"/>
              </w:rPr>
              <w:t>少开展</w:t>
            </w:r>
            <w:proofErr w:type="gramEnd"/>
            <w:r>
              <w:rPr>
                <w:rFonts w:ascii="仿宋_GB2312" w:eastAsia="仿宋_GB2312" w:hAnsi="Calibri" w:hint="eastAsia"/>
                <w:sz w:val="21"/>
                <w:szCs w:val="21"/>
              </w:rPr>
              <w:t>1次扣1分，支部书记讲党课少1次扣</w:t>
            </w:r>
            <w:r>
              <w:rPr>
                <w:rFonts w:ascii="仿宋_GB2312" w:eastAsia="仿宋_GB2312" w:hAnsi="Calibri"/>
                <w:sz w:val="21"/>
                <w:szCs w:val="21"/>
              </w:rPr>
              <w:t>5</w:t>
            </w:r>
            <w:r>
              <w:rPr>
                <w:rFonts w:ascii="仿宋_GB2312" w:eastAsia="仿宋_GB2312" w:hAnsi="Calibri" w:hint="eastAsia"/>
                <w:sz w:val="21"/>
                <w:szCs w:val="21"/>
              </w:rPr>
              <w:t>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5</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12.支部按要求积极组织党员参加校党委和图书馆党总支的各种会议或思想教育活动，各支部每缺勤1人次扣0.5分，以图书馆考勤记录本为准。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10</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13.督促党员主动、及时、足额交纳党费，落实党费缴纳互签制度。党员每季度末主动向党支部交纳党费，党支部每季度末向图书馆党总支缴纳党费并做好登记，每迟交1次扣3分。</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r>
              <w:rPr>
                <w:rFonts w:ascii="仿宋_GB2312" w:eastAsia="仿宋_GB2312" w:hAnsi="Calibri" w:hint="eastAsia"/>
                <w:b/>
                <w:sz w:val="21"/>
                <w:szCs w:val="21"/>
              </w:rPr>
              <w:t>10</w:t>
            </w: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val="restar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五、支部</w:t>
            </w:r>
          </w:p>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活动开展</w:t>
            </w: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14.每年党支部组织一定数量有特色、有意义、有影响力的“主题党日活动”，并提交支部案例，每一项奖励3分。（加分项）</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vMerge/>
            <w:tcBorders>
              <w:top w:val="single" w:sz="4" w:space="0" w:color="auto"/>
              <w:left w:val="single" w:sz="4" w:space="0" w:color="auto"/>
              <w:bottom w:val="single" w:sz="4" w:space="0" w:color="auto"/>
              <w:right w:val="single" w:sz="4" w:space="0" w:color="auto"/>
            </w:tcBorders>
            <w:vAlign w:val="center"/>
          </w:tcPr>
          <w:p w:rsidR="00682A95" w:rsidRDefault="00682A95" w:rsidP="003047CB">
            <w:pPr>
              <w:widowControl/>
              <w:adjustRightInd w:val="0"/>
              <w:snapToGrid w:val="0"/>
              <w:spacing w:line="240" w:lineRule="auto"/>
              <w:rPr>
                <w:rFonts w:ascii="仿宋_GB2312" w:eastAsia="仿宋_GB2312"/>
                <w:b/>
                <w:sz w:val="21"/>
                <w:szCs w:val="21"/>
              </w:rPr>
            </w:pP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15.积极开展新闻宣传，报道支部党建情况和党员先进事迹，校级以上报道每项奖励4分，校级报道每项奖励2分，图书馆报道每项奖励0.5分。（加分项）</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jc w:val="center"/>
        </w:trPr>
        <w:tc>
          <w:tcPr>
            <w:tcW w:w="622"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六、其他</w:t>
            </w:r>
          </w:p>
        </w:tc>
        <w:tc>
          <w:tcPr>
            <w:tcW w:w="3518" w:type="pct"/>
            <w:tcBorders>
              <w:top w:val="single" w:sz="4" w:space="0" w:color="auto"/>
              <w:left w:val="single" w:sz="4" w:space="0" w:color="auto"/>
              <w:bottom w:val="single" w:sz="4" w:space="0" w:color="auto"/>
              <w:right w:val="single" w:sz="4" w:space="0" w:color="auto"/>
            </w:tcBorders>
          </w:tcPr>
          <w:p w:rsidR="00682A95" w:rsidRDefault="00682A95" w:rsidP="003047CB">
            <w:pPr>
              <w:adjustRightInd w:val="0"/>
              <w:snapToGrid w:val="0"/>
              <w:spacing w:line="240" w:lineRule="auto"/>
              <w:rPr>
                <w:rFonts w:ascii="仿宋_GB2312" w:eastAsia="仿宋_GB2312"/>
                <w:sz w:val="21"/>
                <w:szCs w:val="21"/>
              </w:rPr>
            </w:pPr>
            <w:r>
              <w:rPr>
                <w:rFonts w:ascii="仿宋_GB2312" w:eastAsia="仿宋_GB2312" w:hAnsi="Calibri" w:hint="eastAsia"/>
                <w:sz w:val="21"/>
                <w:szCs w:val="21"/>
              </w:rPr>
              <w:t>16.支部成员有违法乱纪，师德师风失</w:t>
            </w:r>
            <w:proofErr w:type="gramStart"/>
            <w:r>
              <w:rPr>
                <w:rFonts w:ascii="仿宋_GB2312" w:eastAsia="仿宋_GB2312" w:hAnsi="Calibri" w:hint="eastAsia"/>
                <w:sz w:val="21"/>
                <w:szCs w:val="21"/>
              </w:rPr>
              <w:t>范</w:t>
            </w:r>
            <w:proofErr w:type="gramEnd"/>
            <w:r>
              <w:rPr>
                <w:rFonts w:ascii="仿宋_GB2312" w:eastAsia="仿宋_GB2312" w:hAnsi="Calibri" w:hint="eastAsia"/>
                <w:sz w:val="21"/>
                <w:szCs w:val="21"/>
              </w:rPr>
              <w:t>的，每人次扣50分，取消当年“先进党组织”评选资格。（加分项）</w:t>
            </w: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trHeight w:val="387"/>
          <w:jc w:val="center"/>
        </w:trPr>
        <w:tc>
          <w:tcPr>
            <w:tcW w:w="622"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合计</w:t>
            </w:r>
          </w:p>
        </w:tc>
        <w:tc>
          <w:tcPr>
            <w:tcW w:w="3518"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c>
          <w:tcPr>
            <w:tcW w:w="390" w:type="pct"/>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jc w:val="center"/>
              <w:rPr>
                <w:rFonts w:ascii="仿宋_GB2312" w:eastAsia="仿宋_GB2312"/>
                <w:b/>
                <w:sz w:val="21"/>
                <w:szCs w:val="21"/>
              </w:rPr>
            </w:pPr>
          </w:p>
        </w:tc>
      </w:tr>
      <w:tr w:rsidR="00682A95" w:rsidTr="003047CB">
        <w:trPr>
          <w:trHeight w:val="407"/>
          <w:jc w:val="center"/>
        </w:trPr>
        <w:tc>
          <w:tcPr>
            <w:tcW w:w="4140" w:type="pct"/>
            <w:gridSpan w:val="2"/>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r>
              <w:rPr>
                <w:rFonts w:ascii="仿宋_GB2312" w:eastAsia="仿宋_GB2312" w:hAnsi="Calibri" w:hint="eastAsia"/>
                <w:b/>
                <w:sz w:val="21"/>
                <w:szCs w:val="21"/>
              </w:rPr>
              <w:t>拟评定等级</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682A95" w:rsidRDefault="00682A95" w:rsidP="003047CB">
            <w:pPr>
              <w:adjustRightInd w:val="0"/>
              <w:snapToGrid w:val="0"/>
              <w:spacing w:line="240" w:lineRule="auto"/>
              <w:rPr>
                <w:rFonts w:ascii="仿宋_GB2312" w:eastAsia="仿宋_GB2312"/>
                <w:b/>
                <w:sz w:val="21"/>
                <w:szCs w:val="21"/>
              </w:rPr>
            </w:pPr>
          </w:p>
        </w:tc>
      </w:tr>
    </w:tbl>
    <w:p w:rsidR="00682A95" w:rsidRDefault="00682A95" w:rsidP="00682A95">
      <w:pPr>
        <w:adjustRightInd w:val="0"/>
        <w:snapToGrid w:val="0"/>
        <w:ind w:firstLineChars="200" w:firstLine="482"/>
        <w:rPr>
          <w:rFonts w:ascii="仿宋_GB2312" w:eastAsia="仿宋_GB2312" w:cs="Times New Roman"/>
          <w:b/>
          <w:szCs w:val="24"/>
        </w:rPr>
      </w:pPr>
      <w:r>
        <w:rPr>
          <w:rFonts w:ascii="仿宋_GB2312" w:eastAsia="仿宋_GB2312" w:cs="Times New Roman" w:hint="eastAsia"/>
          <w:b/>
          <w:szCs w:val="24"/>
        </w:rPr>
        <w:t>党支部书记签字：                  图书馆党总支书记签字：</w:t>
      </w:r>
    </w:p>
    <w:p w:rsidR="00682A95" w:rsidRDefault="00682A95" w:rsidP="00682A95">
      <w:pPr>
        <w:adjustRightInd w:val="0"/>
        <w:snapToGrid w:val="0"/>
        <w:ind w:firstLineChars="200" w:firstLine="482"/>
        <w:rPr>
          <w:rFonts w:ascii="仿宋_GB2312" w:eastAsia="仿宋_GB2312" w:cs="Times New Roman"/>
          <w:sz w:val="32"/>
          <w:szCs w:val="32"/>
        </w:rPr>
      </w:pPr>
      <w:r>
        <w:rPr>
          <w:rFonts w:ascii="仿宋_GB2312" w:eastAsia="仿宋_GB2312" w:cs="Times New Roman" w:hint="eastAsia"/>
          <w:b/>
          <w:szCs w:val="24"/>
        </w:rPr>
        <w:t xml:space="preserve">          年   月   日                            年   月   日</w:t>
      </w:r>
    </w:p>
    <w:p w:rsidR="00632C7A" w:rsidRDefault="00C77310" w:rsidP="00682A95"/>
    <w:sectPr w:rsidR="00632C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10" w:rsidRDefault="00C77310" w:rsidP="00682A95">
      <w:pPr>
        <w:spacing w:line="240" w:lineRule="auto"/>
      </w:pPr>
      <w:r>
        <w:separator/>
      </w:r>
    </w:p>
  </w:endnote>
  <w:endnote w:type="continuationSeparator" w:id="0">
    <w:p w:rsidR="00C77310" w:rsidRDefault="00C77310" w:rsidP="00682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10" w:rsidRDefault="00C77310" w:rsidP="00682A95">
      <w:pPr>
        <w:spacing w:line="240" w:lineRule="auto"/>
      </w:pPr>
      <w:r>
        <w:separator/>
      </w:r>
    </w:p>
  </w:footnote>
  <w:footnote w:type="continuationSeparator" w:id="0">
    <w:p w:rsidR="00C77310" w:rsidRDefault="00C77310" w:rsidP="00682A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14"/>
    <w:rsid w:val="000F5791"/>
    <w:rsid w:val="002F5D14"/>
    <w:rsid w:val="00682A95"/>
    <w:rsid w:val="00C77310"/>
    <w:rsid w:val="00CE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95"/>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A95"/>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Char">
    <w:name w:val="页眉 Char"/>
    <w:basedOn w:val="a0"/>
    <w:link w:val="a3"/>
    <w:uiPriority w:val="99"/>
    <w:rsid w:val="00682A95"/>
    <w:rPr>
      <w:sz w:val="18"/>
      <w:szCs w:val="18"/>
    </w:rPr>
  </w:style>
  <w:style w:type="paragraph" w:styleId="a4">
    <w:name w:val="footer"/>
    <w:basedOn w:val="a"/>
    <w:link w:val="Char0"/>
    <w:uiPriority w:val="99"/>
    <w:unhideWhenUsed/>
    <w:rsid w:val="00682A95"/>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0">
    <w:name w:val="页脚 Char"/>
    <w:basedOn w:val="a0"/>
    <w:link w:val="a4"/>
    <w:uiPriority w:val="99"/>
    <w:rsid w:val="00682A95"/>
    <w:rPr>
      <w:sz w:val="18"/>
      <w:szCs w:val="18"/>
    </w:rPr>
  </w:style>
  <w:style w:type="table" w:styleId="a5">
    <w:name w:val="Table Grid"/>
    <w:basedOn w:val="a1"/>
    <w:uiPriority w:val="59"/>
    <w:qFormat/>
    <w:rsid w:val="00682A95"/>
    <w:rPr>
      <w:rFonts w:ascii="Calibri" w:eastAsia="Times New Roman" w:hAnsi="Calibri"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95"/>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A95"/>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Char">
    <w:name w:val="页眉 Char"/>
    <w:basedOn w:val="a0"/>
    <w:link w:val="a3"/>
    <w:uiPriority w:val="99"/>
    <w:rsid w:val="00682A95"/>
    <w:rPr>
      <w:sz w:val="18"/>
      <w:szCs w:val="18"/>
    </w:rPr>
  </w:style>
  <w:style w:type="paragraph" w:styleId="a4">
    <w:name w:val="footer"/>
    <w:basedOn w:val="a"/>
    <w:link w:val="Char0"/>
    <w:uiPriority w:val="99"/>
    <w:unhideWhenUsed/>
    <w:rsid w:val="00682A95"/>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0">
    <w:name w:val="页脚 Char"/>
    <w:basedOn w:val="a0"/>
    <w:link w:val="a4"/>
    <w:uiPriority w:val="99"/>
    <w:rsid w:val="00682A95"/>
    <w:rPr>
      <w:sz w:val="18"/>
      <w:szCs w:val="18"/>
    </w:rPr>
  </w:style>
  <w:style w:type="table" w:styleId="a5">
    <w:name w:val="Table Grid"/>
    <w:basedOn w:val="a1"/>
    <w:uiPriority w:val="59"/>
    <w:qFormat/>
    <w:rsid w:val="00682A95"/>
    <w:rPr>
      <w:rFonts w:ascii="Calibri" w:eastAsia="Times New Roman" w:hAnsi="Calibri"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TSGWS-JS</dc:creator>
  <cp:keywords/>
  <dc:description/>
  <cp:lastModifiedBy>TSGWS-JS</cp:lastModifiedBy>
  <cp:revision>2</cp:revision>
  <dcterms:created xsi:type="dcterms:W3CDTF">2022-09-16T01:42:00Z</dcterms:created>
  <dcterms:modified xsi:type="dcterms:W3CDTF">2022-09-16T01:43:00Z</dcterms:modified>
</cp:coreProperties>
</file>